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Раздел 1</w:t>
      </w:r>
    </w:p>
    <w:p w:rsidR="00AD7754" w:rsidRPr="00AD3C9C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D3C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AD3C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AD3C9C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AD3C9C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AD3C9C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AD3C9C" w:rsidRPr="00F84C73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C2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D3C9C" w:rsidRPr="00F84C73">
        <w:rPr>
          <w:rFonts w:ascii="Times New Roman" w:hAnsi="Times New Roman"/>
          <w:b/>
          <w:sz w:val="24"/>
          <w:szCs w:val="24"/>
        </w:rPr>
        <w:t>Что относится к задачам финансового менеджмента: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принимает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решения по обеспечению наиболее эффективного движения финансовых ресурсов;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осваивает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недостаточно исследованные за рубежом области финансового менеджмента;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выявляет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особенности финансового менеджмента для различных субъектов бизнеса</w:t>
      </w:r>
    </w:p>
    <w:p w:rsidR="00AD7754" w:rsidRPr="00F84C73" w:rsidRDefault="00AD7754" w:rsidP="00A908B1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C9C" w:rsidRPr="00F84C73" w:rsidRDefault="00AD7754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73">
        <w:rPr>
          <w:rFonts w:ascii="Times New Roman" w:hAnsi="Times New Roman" w:cs="Times New Roman"/>
          <w:b/>
          <w:sz w:val="24"/>
          <w:szCs w:val="24"/>
        </w:rPr>
        <w:t>2.</w:t>
      </w:r>
      <w:r w:rsidRPr="00F84C73">
        <w:rPr>
          <w:rFonts w:ascii="Times New Roman" w:hAnsi="Times New Roman" w:cs="Times New Roman"/>
          <w:sz w:val="24"/>
          <w:szCs w:val="24"/>
        </w:rPr>
        <w:t xml:space="preserve"> </w:t>
      </w:r>
      <w:r w:rsidR="00AD3C9C" w:rsidRPr="00F84C73">
        <w:rPr>
          <w:rFonts w:ascii="Times New Roman" w:hAnsi="Times New Roman"/>
          <w:b/>
          <w:sz w:val="24"/>
          <w:szCs w:val="24"/>
        </w:rPr>
        <w:t>Важными факторами роста прибыли, не зависящими от деятельности предприятия являются:</w:t>
      </w:r>
    </w:p>
    <w:p w:rsidR="003C6E97" w:rsidRPr="00F84C73" w:rsidRDefault="00A908B1" w:rsidP="00AD3C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природные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>, географические, транспортные, технические условия;</w:t>
      </w:r>
    </w:p>
    <w:p w:rsidR="00AD3C9C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рост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объема производства;</w:t>
      </w:r>
    </w:p>
    <w:p w:rsidR="003C6E97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договорные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условия с поставщиками, клиентами, потребителями</w:t>
      </w:r>
    </w:p>
    <w:p w:rsidR="00AD3C9C" w:rsidRPr="00F84C73" w:rsidRDefault="00AD3C9C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AD3C9C" w:rsidRPr="00F84C73" w:rsidRDefault="000526E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hAnsi="Times New Roman" w:cs="Times New Roman"/>
          <w:b/>
          <w:sz w:val="24"/>
          <w:szCs w:val="24"/>
        </w:rPr>
        <w:t>3</w:t>
      </w:r>
      <w:r w:rsidRPr="00F84C73">
        <w:rPr>
          <w:rFonts w:ascii="Times New Roman" w:hAnsi="Times New Roman" w:cs="Times New Roman"/>
          <w:sz w:val="24"/>
          <w:szCs w:val="24"/>
        </w:rPr>
        <w:t xml:space="preserve">. </w:t>
      </w:r>
      <w:r w:rsidR="00AD3C9C" w:rsidRPr="00F84C73">
        <w:rPr>
          <w:rFonts w:ascii="Times New Roman" w:hAnsi="Times New Roman"/>
          <w:b/>
          <w:bCs/>
          <w:sz w:val="24"/>
          <w:szCs w:val="24"/>
        </w:rPr>
        <w:t>Контролирующий акционер компании владеет 55% акций этой компании, а остальные акции распределены между большой группой акционеров. В этой ситуации наиболее вероятен конфликт интересов между: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акционерами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и регуляторами</w:t>
      </w:r>
      <w:r w:rsidR="003C6E97"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контролирующим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акционером и руководством</w:t>
      </w:r>
      <w:r w:rsidR="003C6E97" w:rsidRPr="00F84C73">
        <w:rPr>
          <w:rFonts w:ascii="Times New Roman" w:hAnsi="Times New Roman"/>
          <w:sz w:val="24"/>
          <w:szCs w:val="24"/>
        </w:rPr>
        <w:t>;</w:t>
      </w:r>
    </w:p>
    <w:p w:rsidR="00A908B1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D3C9C" w:rsidRPr="00F84C73">
        <w:rPr>
          <w:rFonts w:ascii="Times New Roman" w:hAnsi="Times New Roman"/>
          <w:sz w:val="24"/>
          <w:szCs w:val="24"/>
        </w:rPr>
        <w:t>контролирующим</w:t>
      </w:r>
      <w:proofErr w:type="gramEnd"/>
      <w:r w:rsidR="00AD3C9C" w:rsidRPr="00F84C73">
        <w:rPr>
          <w:rFonts w:ascii="Times New Roman" w:hAnsi="Times New Roman"/>
          <w:sz w:val="24"/>
          <w:szCs w:val="24"/>
        </w:rPr>
        <w:t xml:space="preserve"> акционером и миноритарными акционерами</w:t>
      </w:r>
    </w:p>
    <w:p w:rsidR="000526E7" w:rsidRPr="00F84C73" w:rsidRDefault="000526E7" w:rsidP="00A9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933" w:rsidRPr="00F84C73" w:rsidRDefault="000526E7" w:rsidP="003C6E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5933" w:rsidRPr="00F84C73">
        <w:rPr>
          <w:rFonts w:ascii="Times New Roman" w:hAnsi="Times New Roman"/>
          <w:b/>
          <w:bCs/>
          <w:sz w:val="24"/>
          <w:szCs w:val="24"/>
        </w:rPr>
        <w:t>Термины «рынок активный» и «рынок эффективный»</w:t>
      </w:r>
    </w:p>
    <w:p w:rsidR="00A908B1" w:rsidRPr="00F84C73" w:rsidRDefault="00A908B1" w:rsidP="003C6E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>Синоним</w:t>
      </w:r>
      <w:r w:rsidR="003C6E97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6E97" w:rsidRPr="00F84C73" w:rsidRDefault="00A908B1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>Являются специфическими характеристиками лишь финансового рынка</w:t>
      </w:r>
      <w:r w:rsidR="003C6E97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6E97" w:rsidRPr="00F84C73" w:rsidRDefault="00A908B1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>Характеризуют различные аспекты рынка</w:t>
      </w:r>
    </w:p>
    <w:p w:rsidR="003C6E97" w:rsidRPr="00F84C73" w:rsidRDefault="003C6E97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5933" w:rsidRPr="00F84C73" w:rsidRDefault="000526E7" w:rsidP="00D75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Коэффициент производственного </w:t>
      </w:r>
      <w:proofErr w:type="spellStart"/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левереджа</w:t>
      </w:r>
      <w:proofErr w:type="spellEnd"/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фирмы А выше, чем у фирмы Б. Какая из двух фирм меньше пострадает при одинаковом снижении относительного объема продаж:</w:t>
      </w:r>
    </w:p>
    <w:p w:rsidR="00951108" w:rsidRPr="00F84C73" w:rsidRDefault="00A908B1" w:rsidP="00D7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одинаково;</w:t>
      </w:r>
    </w:p>
    <w:p w:rsidR="00D75933" w:rsidRPr="00F84C73" w:rsidRDefault="00A908B1" w:rsidP="0095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Б;</w:t>
      </w:r>
    </w:p>
    <w:p w:rsidR="00951108" w:rsidRPr="00F84C73" w:rsidRDefault="00A908B1" w:rsidP="0095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А</w:t>
      </w:r>
    </w:p>
    <w:p w:rsidR="00D75933" w:rsidRPr="00F84C73" w:rsidRDefault="00D75933" w:rsidP="0095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75933" w:rsidRPr="00F84C73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предлагает 17% годовых за размещение денежных средств на открываемых им депозитных счетах. Используя формулу дисконтирования, рассчитать размер первоначального вклада, чтобы через 4 года иметь на счете 180 тыс. у.е.:</w:t>
      </w:r>
    </w:p>
    <w:p w:rsidR="00D75933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96.12 тыс. у.е.;          </w:t>
      </w:r>
    </w:p>
    <w:p w:rsidR="00D75933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101.25 тыс. у.е.;</w:t>
      </w:r>
    </w:p>
    <w:p w:rsidR="00951108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91.44 тыс. у.е.;</w:t>
      </w:r>
    </w:p>
    <w:p w:rsidR="00D75933" w:rsidRPr="00F84C73" w:rsidRDefault="00D75933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FDPV = 1 / (1 + 17%)^4 = 0.5337 x 180 = 96.1</w:t>
      </w:r>
    </w:p>
    <w:p w:rsidR="00D75933" w:rsidRPr="00F84C73" w:rsidRDefault="00D75933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D75933" w:rsidRPr="00F84C73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отсутствия у организации гарантированного объема заказов большее аналитическое значение имеет показатель:</w:t>
      </w:r>
    </w:p>
    <w:p w:rsidR="00951108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фондовооруженности</w:t>
      </w:r>
      <w:proofErr w:type="spellEnd"/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5933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фондоемкости</w:t>
      </w:r>
      <w:proofErr w:type="spellEnd"/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1F9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фондоотдачи</w:t>
      </w:r>
      <w:proofErr w:type="gramEnd"/>
    </w:p>
    <w:p w:rsidR="00951108" w:rsidRPr="00F84C73" w:rsidRDefault="00951108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933" w:rsidRPr="00F84C73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75933" w:rsidRPr="00F84C73">
        <w:rPr>
          <w:rFonts w:ascii="Times New Roman" w:hAnsi="Times New Roman"/>
          <w:b/>
          <w:bCs/>
          <w:sz w:val="24"/>
          <w:szCs w:val="24"/>
        </w:rPr>
        <w:t>При увеличении рентабельности продаж на 4% и оборачиваемости активов на 10%, рентабельность всех вложений:</w:t>
      </w:r>
    </w:p>
    <w:p w:rsidR="00951108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уменьшилась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на 5.5%</w:t>
      </w:r>
      <w:r w:rsidR="00951108" w:rsidRPr="00F84C73">
        <w:rPr>
          <w:rFonts w:ascii="Times New Roman" w:hAnsi="Times New Roman" w:cs="Times New Roman"/>
          <w:sz w:val="24"/>
          <w:szCs w:val="24"/>
        </w:rPr>
        <w:t>;</w:t>
      </w:r>
    </w:p>
    <w:p w:rsidR="00951108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увеличилась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на 14.4%</w:t>
      </w:r>
      <w:r w:rsidR="00951108" w:rsidRPr="00F84C73">
        <w:rPr>
          <w:rFonts w:ascii="Times New Roman" w:hAnsi="Times New Roman" w:cs="Times New Roman"/>
          <w:sz w:val="24"/>
          <w:szCs w:val="24"/>
        </w:rPr>
        <w:t>;</w:t>
      </w:r>
    </w:p>
    <w:p w:rsidR="00423C21" w:rsidRPr="00F84C73" w:rsidRDefault="00423C2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108" w:rsidRPr="00F84C73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увеличилась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на 40%         </w:t>
      </w:r>
    </w:p>
    <w:p w:rsidR="000526E7" w:rsidRPr="00F84C73" w:rsidRDefault="00D75933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4 х 10% = 40%</w:t>
      </w:r>
    </w:p>
    <w:p w:rsidR="00D75933" w:rsidRPr="00F84C73" w:rsidRDefault="00D75933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933" w:rsidRPr="00F84C73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D75933" w:rsidRPr="00F84C73">
        <w:rPr>
          <w:rFonts w:ascii="Times New Roman" w:hAnsi="Times New Roman" w:cs="Times New Roman"/>
          <w:b/>
          <w:bCs/>
          <w:sz w:val="24"/>
          <w:szCs w:val="24"/>
        </w:rPr>
        <w:t>Здания и сооружения организации относятся:</w:t>
      </w:r>
    </w:p>
    <w:p w:rsidR="00A908B1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оборотному капиталу;</w:t>
      </w:r>
    </w:p>
    <w:p w:rsidR="00A908B1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активной части основных фондов;</w:t>
      </w:r>
    </w:p>
    <w:p w:rsidR="000526E7" w:rsidRPr="00F84C73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пассивной части основных фондов</w:t>
      </w:r>
    </w:p>
    <w:p w:rsidR="00D75933" w:rsidRPr="00F84C73" w:rsidRDefault="00D75933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78" w:rsidRPr="00F84C73" w:rsidRDefault="000526E7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D75933" w:rsidRPr="00F84C73">
        <w:rPr>
          <w:rFonts w:ascii="Times New Roman" w:hAnsi="Times New Roman" w:cs="Times New Roman"/>
          <w:b/>
          <w:bCs/>
          <w:sz w:val="24"/>
          <w:szCs w:val="24"/>
        </w:rPr>
        <w:t>Какой из текущих бюджетов является базисным в процессе разработки общего бюджета:</w:t>
      </w:r>
    </w:p>
    <w:p w:rsidR="00A908B1" w:rsidRPr="00F84C73" w:rsidRDefault="00A908B1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коммерческих расходов;</w:t>
      </w:r>
    </w:p>
    <w:p w:rsidR="00985778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бюджет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продаж;</w:t>
      </w:r>
    </w:p>
    <w:p w:rsidR="00985778" w:rsidRPr="00F84C73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84C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производства</w:t>
      </w:r>
    </w:p>
    <w:p w:rsidR="000526E7" w:rsidRPr="00F84C73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3" w:rsidRPr="00F84C73" w:rsidRDefault="000526E7" w:rsidP="00D75933">
      <w:pPr>
        <w:pStyle w:val="a9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F84C73">
        <w:rPr>
          <w:rFonts w:ascii="Times New Roman" w:hAnsi="Times New Roman"/>
          <w:b/>
          <w:sz w:val="24"/>
          <w:lang w:val="kk-KZ"/>
        </w:rPr>
        <w:t xml:space="preserve">11. </w:t>
      </w:r>
      <w:r w:rsidR="00D75933" w:rsidRPr="00F84C73">
        <w:rPr>
          <w:rFonts w:ascii="Times New Roman" w:hAnsi="Times New Roman"/>
          <w:b/>
          <w:bCs/>
          <w:sz w:val="24"/>
        </w:rPr>
        <w:t>В величину срочных обязательств, принимаемых в расчет коэффициентов ликвидности, не включается статья:</w:t>
      </w:r>
    </w:p>
    <w:p w:rsidR="00D75933" w:rsidRPr="00F84C73" w:rsidRDefault="00A908B1" w:rsidP="00D75933">
      <w:pPr>
        <w:pStyle w:val="a9"/>
        <w:rPr>
          <w:rFonts w:ascii="Times New Roman" w:hAnsi="Times New Roman"/>
          <w:sz w:val="24"/>
        </w:rPr>
      </w:pPr>
      <w:r w:rsidRPr="00F84C73">
        <w:rPr>
          <w:rFonts w:ascii="Times New Roman" w:hAnsi="Times New Roman"/>
          <w:sz w:val="24"/>
        </w:rPr>
        <w:t xml:space="preserve">А) </w:t>
      </w:r>
      <w:r w:rsidR="00D75933" w:rsidRPr="00F84C73">
        <w:rPr>
          <w:rFonts w:ascii="Times New Roman" w:hAnsi="Times New Roman"/>
          <w:sz w:val="24"/>
        </w:rPr>
        <w:t>прочие краткосрочные пассивы;</w:t>
      </w:r>
    </w:p>
    <w:p w:rsidR="00D75933" w:rsidRPr="00F84C73" w:rsidRDefault="00A908B1" w:rsidP="00D75933">
      <w:pPr>
        <w:pStyle w:val="a9"/>
        <w:rPr>
          <w:rFonts w:ascii="Times New Roman" w:hAnsi="Times New Roman"/>
          <w:sz w:val="24"/>
        </w:rPr>
      </w:pPr>
      <w:r w:rsidRPr="00F84C73">
        <w:rPr>
          <w:rFonts w:ascii="Times New Roman" w:hAnsi="Times New Roman"/>
          <w:sz w:val="24"/>
        </w:rPr>
        <w:t xml:space="preserve">В) </w:t>
      </w:r>
      <w:r w:rsidR="00D75933" w:rsidRPr="00F84C73">
        <w:rPr>
          <w:rFonts w:ascii="Times New Roman" w:hAnsi="Times New Roman"/>
          <w:sz w:val="24"/>
        </w:rPr>
        <w:t>расчеты по дивидендам;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F84C73" w:rsidTr="00D75933">
        <w:trPr>
          <w:trHeight w:val="80"/>
        </w:trPr>
        <w:tc>
          <w:tcPr>
            <w:tcW w:w="8964" w:type="dxa"/>
            <w:vAlign w:val="center"/>
          </w:tcPr>
          <w:p w:rsidR="00FD43DB" w:rsidRPr="00F84C73" w:rsidRDefault="00A908B1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D75933" w:rsidRPr="00F84C73">
              <w:rPr>
                <w:rFonts w:ascii="Times New Roman" w:hAnsi="Times New Roman"/>
                <w:sz w:val="24"/>
                <w:szCs w:val="24"/>
              </w:rPr>
              <w:t>резервы предстоящих расходов</w:t>
            </w:r>
          </w:p>
        </w:tc>
      </w:tr>
      <w:tr w:rsidR="00FD43DB" w:rsidRPr="00F84C73" w:rsidTr="00D75933">
        <w:trPr>
          <w:trHeight w:val="80"/>
        </w:trPr>
        <w:tc>
          <w:tcPr>
            <w:tcW w:w="8964" w:type="dxa"/>
            <w:vAlign w:val="center"/>
          </w:tcPr>
          <w:p w:rsidR="00FD43DB" w:rsidRPr="00F84C73" w:rsidRDefault="00FD43DB" w:rsidP="00D75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933" w:rsidRPr="00F84C73" w:rsidRDefault="000526E7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D75933" w:rsidRPr="00F84C73">
        <w:rPr>
          <w:rFonts w:ascii="Times New Roman" w:hAnsi="Times New Roman" w:cs="Times New Roman"/>
          <w:b/>
          <w:bCs/>
          <w:sz w:val="24"/>
          <w:szCs w:val="24"/>
        </w:rPr>
        <w:t>Какие показатели рассчитываются для оценки несостоятельности предприятия по данным бухгалтерской отчетности:</w:t>
      </w:r>
    </w:p>
    <w:p w:rsidR="00FD43DB" w:rsidRPr="00F84C73" w:rsidRDefault="00A908B1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 w:cs="Times New Roman"/>
          <w:sz w:val="24"/>
          <w:szCs w:val="24"/>
        </w:rPr>
        <w:t>коэффициент автономии, коэффициент платежеспособности;</w:t>
      </w:r>
    </w:p>
    <w:p w:rsidR="00FD43DB" w:rsidRPr="00F84C73" w:rsidRDefault="00A908B1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 w:cs="Times New Roman"/>
          <w:sz w:val="24"/>
          <w:szCs w:val="24"/>
        </w:rPr>
        <w:t>коэффициент: текущей ликвидности, обеспеченности оборотных активов собственными оборотными средствами;</w:t>
      </w:r>
    </w:p>
    <w:p w:rsidR="00FD43DB" w:rsidRPr="00F84C73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 w:cs="Times New Roman"/>
          <w:sz w:val="24"/>
          <w:szCs w:val="24"/>
        </w:rPr>
        <w:t>коэффициенты:  текущей ликвидности, обеспеченности оборотных активов собственными оборотными средствами, восстановления  и утраты платежеспособности</w:t>
      </w:r>
    </w:p>
    <w:p w:rsidR="00D75933" w:rsidRPr="00F84C73" w:rsidRDefault="00D75933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3" w:rsidRPr="00F84C73" w:rsidRDefault="000526E7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D75933" w:rsidRPr="00F84C73">
        <w:rPr>
          <w:rFonts w:ascii="Times New Roman" w:hAnsi="Times New Roman" w:cs="Times New Roman"/>
          <w:b/>
          <w:bCs/>
          <w:sz w:val="24"/>
          <w:szCs w:val="24"/>
        </w:rPr>
        <w:t>Длительность оборота денежных средств может быть уменьшена путем:</w:t>
      </w:r>
    </w:p>
    <w:p w:rsidR="00D75933" w:rsidRPr="00F84C73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увеличения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длительности оборота товарно-материальных ценностей;</w:t>
      </w:r>
    </w:p>
    <w:p w:rsidR="00D75933" w:rsidRPr="00F84C73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сокращения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длительности оборота дебиторской задолженности;</w:t>
      </w:r>
    </w:p>
    <w:p w:rsidR="00A908B1" w:rsidRPr="00F84C73" w:rsidRDefault="00A908B1" w:rsidP="00D75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84C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75933" w:rsidRPr="00F84C73">
        <w:rPr>
          <w:rFonts w:ascii="Times New Roman" w:hAnsi="Times New Roman" w:cs="Times New Roman"/>
          <w:sz w:val="24"/>
          <w:szCs w:val="24"/>
        </w:rPr>
        <w:t>сокращения</w:t>
      </w:r>
      <w:proofErr w:type="gramEnd"/>
      <w:r w:rsidR="00D75933" w:rsidRPr="00F84C73">
        <w:rPr>
          <w:rFonts w:ascii="Times New Roman" w:hAnsi="Times New Roman" w:cs="Times New Roman"/>
          <w:sz w:val="24"/>
          <w:szCs w:val="24"/>
        </w:rPr>
        <w:t xml:space="preserve"> периода обращения кредиторской задолженности</w:t>
      </w:r>
    </w:p>
    <w:p w:rsidR="00FD43DB" w:rsidRPr="00F84C73" w:rsidRDefault="00FD43DB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5933" w:rsidRPr="00F84C73" w:rsidRDefault="000526E7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равна выручка от реализации продукции, если средняя цена текущих активов составляет 2,540 тыс. у.е., оборачиваемость составляет 3.5 раза:</w:t>
      </w:r>
    </w:p>
    <w:p w:rsidR="00D75933" w:rsidRPr="00F84C73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7,620 тыс. у.е.</w:t>
      </w:r>
    </w:p>
    <w:p w:rsidR="00D75933" w:rsidRPr="00F84C73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 xml:space="preserve">8,890 тыс. у.е.    </w:t>
      </w:r>
    </w:p>
    <w:p w:rsidR="00A908B1" w:rsidRPr="008F2514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8F25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) </w:t>
      </w:r>
      <w:r w:rsidR="00D75933" w:rsidRPr="008F25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5,670 </w:t>
      </w:r>
      <w:proofErr w:type="spellStart"/>
      <w:r w:rsidR="00D75933"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spellEnd"/>
      <w:r w:rsidR="00D75933" w:rsidRPr="008F25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r w:rsidR="00D75933"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5933" w:rsidRPr="008F25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  <w:r w:rsidR="00D75933"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75933" w:rsidRPr="008F251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671A5C" w:rsidRPr="008F2514" w:rsidRDefault="00D75933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3.5 = </w:t>
      </w:r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F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</w:t>
      </w:r>
      <w:r w:rsidRPr="008F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</w:t>
      </w:r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F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3.5 </w:t>
      </w:r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F25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2,540 = 8,890</w:t>
      </w:r>
    </w:p>
    <w:p w:rsidR="00D75933" w:rsidRPr="008F2514" w:rsidRDefault="00D75933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75933" w:rsidRPr="00F84C73" w:rsidRDefault="005E0602" w:rsidP="00D75933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величину приведенного дохода от инвестиций за два года, если в первом году получено 100 млн. у.е., во втором 200 млн. у.е. Годовая ставка дисконта 60%:</w:t>
      </w:r>
    </w:p>
    <w:p w:rsidR="00D75933" w:rsidRPr="00F84C73" w:rsidRDefault="00D75933" w:rsidP="00D75933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170 млн. у.е.;</w:t>
      </w:r>
    </w:p>
    <w:p w:rsidR="00D75933" w:rsidRPr="00F84C73" w:rsidRDefault="007961C0" w:rsidP="00D75933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="00D75933" w:rsidRPr="00F84C73">
        <w:rPr>
          <w:rFonts w:ascii="Times New Roman" w:hAnsi="Times New Roman"/>
          <w:sz w:val="24"/>
          <w:szCs w:val="24"/>
        </w:rPr>
        <w:t xml:space="preserve">140.6 млн. у.е.;  </w:t>
      </w:r>
    </w:p>
    <w:p w:rsidR="00671A5C" w:rsidRPr="00F84C73" w:rsidRDefault="00D75933" w:rsidP="00671A5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Pr="00F84C73">
        <w:rPr>
          <w:rFonts w:ascii="Times New Roman" w:hAnsi="Times New Roman"/>
          <w:sz w:val="24"/>
          <w:szCs w:val="24"/>
        </w:rPr>
        <w:t>139.5 млн. у.е.;</w:t>
      </w:r>
    </w:p>
    <w:p w:rsidR="00D75933" w:rsidRPr="00F84C73" w:rsidRDefault="00D75933" w:rsidP="00671A5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hAnsi="Times New Roman"/>
          <w:sz w:val="24"/>
          <w:szCs w:val="24"/>
        </w:rPr>
        <w:t>100/(1+60%)^1+200/(1+60%)^2 = 62.5 + 78.1 = 140.6</w:t>
      </w:r>
    </w:p>
    <w:p w:rsidR="00671A5C" w:rsidRPr="00F84C73" w:rsidRDefault="00671A5C" w:rsidP="00671A5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3" w:rsidRPr="00F84C73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D75933" w:rsidRPr="00F84C73">
        <w:rPr>
          <w:rFonts w:ascii="Times New Roman" w:hAnsi="Times New Roman"/>
          <w:b/>
          <w:bCs/>
          <w:sz w:val="24"/>
          <w:szCs w:val="24"/>
        </w:rPr>
        <w:t>Диверсификация инвестиционного портфеля — это:</w:t>
      </w:r>
    </w:p>
    <w:p w:rsidR="00D75933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процесс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>, направленный на снижение риска по основной инвестиции;</w:t>
      </w:r>
    </w:p>
    <w:p w:rsidR="00D75933" w:rsidRPr="00F84C73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поиск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ценных бумаг, имеющих позитивную корреляцию;</w:t>
      </w:r>
    </w:p>
    <w:p w:rsidR="00D75933" w:rsidRPr="00F84C73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процесс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рассредоточения средств по инвестициям в целях сокращения риска;</w:t>
      </w:r>
    </w:p>
    <w:p w:rsidR="00D75933" w:rsidRPr="00F84C73" w:rsidRDefault="00D75933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3C21" w:rsidRPr="00F84C73" w:rsidRDefault="00423C2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933" w:rsidRPr="00F84C73" w:rsidRDefault="005E0602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17. </w:t>
      </w:r>
      <w:r w:rsidR="00D75933" w:rsidRPr="00F84C73">
        <w:rPr>
          <w:rFonts w:ascii="Times New Roman" w:hAnsi="Times New Roman"/>
          <w:b/>
          <w:bCs/>
          <w:sz w:val="24"/>
          <w:szCs w:val="24"/>
        </w:rPr>
        <w:t>Найдите текущую рыночную стоимость облигаций компании, если величина купонной выплаты составляет 120 у.е., а периодическая текущая ставка доходности — 4%</w:t>
      </w:r>
    </w:p>
    <w:p w:rsidR="00671A5C" w:rsidRPr="00F84C73" w:rsidRDefault="007961C0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 xml:space="preserve">3,000 </w:t>
      </w:r>
      <w:proofErr w:type="spellStart"/>
      <w:r w:rsidR="00D75933" w:rsidRPr="00F84C73">
        <w:rPr>
          <w:rFonts w:ascii="Times New Roman" w:hAnsi="Times New Roman"/>
          <w:sz w:val="24"/>
          <w:szCs w:val="24"/>
        </w:rPr>
        <w:t>у.е</w:t>
      </w:r>
      <w:proofErr w:type="spellEnd"/>
      <w:proofErr w:type="gramEnd"/>
    </w:p>
    <w:p w:rsidR="00D75933" w:rsidRPr="00F84C73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 xml:space="preserve">2,000 </w:t>
      </w:r>
      <w:proofErr w:type="spellStart"/>
      <w:r w:rsidR="00D75933" w:rsidRPr="00F84C73">
        <w:rPr>
          <w:rFonts w:ascii="Times New Roman" w:hAnsi="Times New Roman"/>
          <w:sz w:val="24"/>
          <w:szCs w:val="24"/>
        </w:rPr>
        <w:t>у.е</w:t>
      </w:r>
      <w:proofErr w:type="spellEnd"/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1C0" w:rsidRPr="00F84C73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C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5933" w:rsidRPr="00F84C73">
        <w:rPr>
          <w:rFonts w:ascii="Times New Roman" w:hAnsi="Times New Roman"/>
          <w:sz w:val="24"/>
          <w:szCs w:val="24"/>
        </w:rPr>
        <w:t xml:space="preserve">1,000 </w:t>
      </w:r>
      <w:proofErr w:type="spellStart"/>
      <w:r w:rsidR="00D75933" w:rsidRPr="00F84C73">
        <w:rPr>
          <w:rFonts w:ascii="Times New Roman" w:hAnsi="Times New Roman"/>
          <w:sz w:val="24"/>
          <w:szCs w:val="24"/>
        </w:rPr>
        <w:t>у.е</w:t>
      </w:r>
      <w:proofErr w:type="spellEnd"/>
      <w:proofErr w:type="gramEnd"/>
      <w:r w:rsidR="00671A5C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61E5D" w:rsidRPr="00F84C73" w:rsidRDefault="00D75933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4C73">
        <w:rPr>
          <w:rFonts w:ascii="Times New Roman" w:hAnsi="Times New Roman"/>
          <w:sz w:val="24"/>
          <w:szCs w:val="24"/>
        </w:rPr>
        <w:t>PV = P</w:t>
      </w:r>
      <w:r w:rsidRPr="00F84C73">
        <w:rPr>
          <w:rFonts w:ascii="Times New Roman" w:hAnsi="Times New Roman"/>
          <w:sz w:val="24"/>
          <w:szCs w:val="24"/>
          <w:vertAlign w:val="subscript"/>
        </w:rPr>
        <w:t>C</w:t>
      </w:r>
      <w:r w:rsidRPr="00F84C73">
        <w:rPr>
          <w:rFonts w:ascii="Times New Roman" w:hAnsi="Times New Roman"/>
          <w:sz w:val="24"/>
          <w:szCs w:val="24"/>
        </w:rPr>
        <w:t>/r = 120 / 4%</w:t>
      </w:r>
    </w:p>
    <w:p w:rsidR="00423C21" w:rsidRPr="00F84C73" w:rsidRDefault="00423C2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933" w:rsidRPr="00F84C73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D75933" w:rsidRPr="00F84C73">
        <w:rPr>
          <w:rFonts w:ascii="Times New Roman" w:hAnsi="Times New Roman"/>
          <w:b/>
          <w:sz w:val="24"/>
          <w:szCs w:val="24"/>
        </w:rPr>
        <w:t>Опишите изменение эффективности использования основного капитала при условии, что объем продаж в отчетном году составил 3,600 тыс. у.е., в предшествующем - 2,400 тыс. у.е., а среднегодовая стоимость основного капитала соответственно 3,450 тыс. у.е. и 2,200 тыс. у.е..:</w:t>
      </w:r>
    </w:p>
    <w:p w:rsidR="00671A5C" w:rsidRPr="00F84C73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снизилась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;   </w:t>
      </w:r>
    </w:p>
    <w:p w:rsidR="00D75933" w:rsidRPr="00F84C73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1A5C" w:rsidRPr="00F84C73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hAnsi="Times New Roman"/>
          <w:sz w:val="24"/>
          <w:szCs w:val="24"/>
        </w:rPr>
        <w:t>осталась</w:t>
      </w:r>
      <w:proofErr w:type="gramEnd"/>
      <w:r w:rsidR="00D75933" w:rsidRPr="00F84C73">
        <w:rPr>
          <w:rFonts w:ascii="Times New Roman" w:hAnsi="Times New Roman"/>
          <w:sz w:val="24"/>
          <w:szCs w:val="24"/>
        </w:rPr>
        <w:t xml:space="preserve"> неизменной;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671A5C" w:rsidRPr="00F84C73" w:rsidTr="00671A5C">
        <w:trPr>
          <w:trHeight w:val="80"/>
        </w:trPr>
        <w:tc>
          <w:tcPr>
            <w:tcW w:w="9181" w:type="dxa"/>
            <w:shd w:val="clear" w:color="auto" w:fill="auto"/>
            <w:noWrap/>
            <w:vAlign w:val="bottom"/>
            <w:hideMark/>
          </w:tcPr>
          <w:p w:rsidR="00671A5C" w:rsidRPr="00F84C73" w:rsidRDefault="00671A5C" w:rsidP="0067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A5C" w:rsidRPr="00F84C73" w:rsidTr="006A5AD0">
        <w:trPr>
          <w:trHeight w:val="210"/>
        </w:trPr>
        <w:tc>
          <w:tcPr>
            <w:tcW w:w="9181" w:type="dxa"/>
            <w:shd w:val="clear" w:color="auto" w:fill="auto"/>
            <w:noWrap/>
            <w:vAlign w:val="bottom"/>
            <w:hideMark/>
          </w:tcPr>
          <w:p w:rsidR="00671A5C" w:rsidRPr="00F84C73" w:rsidRDefault="00D75933" w:rsidP="0067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(360 х 3450) / 3600 - (360 х 2200) / 2400 = 345 - 330 = 15</w:t>
            </w:r>
          </w:p>
        </w:tc>
      </w:tr>
    </w:tbl>
    <w:p w:rsidR="000526E7" w:rsidRPr="00F84C73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3" w:rsidRPr="00F84C73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составе источников средств организации 60% занимает собственный капитал, то это говорит:</w:t>
      </w:r>
    </w:p>
    <w:p w:rsidR="00D75933" w:rsidRPr="00F84C73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значительной доле отвлечения средств организации из непосредственного оборота;</w:t>
      </w:r>
    </w:p>
    <w:p w:rsidR="00D75933" w:rsidRPr="00F84C73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 материально-технической базы организации;</w:t>
      </w:r>
    </w:p>
    <w:p w:rsidR="005E0602" w:rsidRPr="00F84C73" w:rsidRDefault="00A908B1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высокой степени независимости;</w:t>
      </w:r>
    </w:p>
    <w:p w:rsidR="00D75933" w:rsidRPr="00F84C73" w:rsidRDefault="00D75933" w:rsidP="00D75933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3" w:rsidRPr="00F84C73" w:rsidRDefault="005E0602" w:rsidP="00671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D75933" w:rsidRPr="00F8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капитала предприятия показывает:</w:t>
      </w:r>
    </w:p>
    <w:p w:rsidR="00D75933" w:rsidRPr="00F84C73" w:rsidRDefault="00A908B1" w:rsidP="00671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отражающих стоимость использования определенного объема финансовых ресурсов;</w:t>
      </w:r>
    </w:p>
    <w:p w:rsidR="00D75933" w:rsidRPr="00F84C73" w:rsidRDefault="00A908B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процентах плату за использование определенного объема финансовых ресурсов;</w:t>
      </w:r>
    </w:p>
    <w:p w:rsidR="00A908B1" w:rsidRPr="00423C21" w:rsidRDefault="00A908B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7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F84C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суммовое</w:t>
      </w:r>
      <w:proofErr w:type="gramEnd"/>
      <w:r w:rsidR="00D75933" w:rsidRPr="00F8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собственного капитала</w:t>
      </w:r>
    </w:p>
    <w:p w:rsidR="00423C21" w:rsidRP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3C21" w:rsidRPr="00AD3C9C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AD3C9C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AD3C9C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AD3C9C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Pr="00AD3C9C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1F7204" w:rsidRPr="00AD3C9C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AD3C9C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AD3C9C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AD3C9C" w:rsidTr="001F7204">
        <w:trPr>
          <w:trHeight w:val="436"/>
        </w:trPr>
        <w:tc>
          <w:tcPr>
            <w:tcW w:w="284" w:type="dxa"/>
            <w:vAlign w:val="center"/>
          </w:tcPr>
          <w:p w:rsidR="001F7204" w:rsidRPr="00AD3C9C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AD3C9C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:rsidR="001F7204" w:rsidRPr="00AD3C9C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AD3C9C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AD3C9C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C9C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AD3C9C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AD3C9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AD3C9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AD3C9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D3C9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AD3C9C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423C21" w:rsidRPr="00423C21" w:rsidRDefault="00423C21" w:rsidP="00423C2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Выбор дивидендной политики </w:t>
      </w:r>
      <w:r w:rsidRPr="00423C21"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  <w:t>(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10 баллов</w:t>
      </w:r>
      <w:r w:rsidRPr="00423C21"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  <w:t>)</w:t>
      </w:r>
    </w:p>
    <w:tbl>
      <w:tblPr>
        <w:tblStyle w:val="10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077"/>
        <w:gridCol w:w="1077"/>
        <w:gridCol w:w="1077"/>
        <w:gridCol w:w="1077"/>
        <w:gridCol w:w="1362"/>
      </w:tblGrid>
      <w:tr w:rsidR="00423C21" w:rsidRPr="00423C21" w:rsidTr="00915DBA">
        <w:trPr>
          <w:trHeight w:val="1815"/>
        </w:trPr>
        <w:tc>
          <w:tcPr>
            <w:tcW w:w="10065" w:type="dxa"/>
            <w:gridSpan w:val="6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423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Saigak</w:t>
            </w:r>
            <w:proofErr w:type="spellEnd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» в настоящее время имеет в обороте 1 миллион обыкновенных акций, по которым ежегодно выплачивает дивиденды из расчета 1 у.е. на одну акцию.  Компания рассчитывает  получать в течение предстоящих пяти лет чистую прибыль достаточную для реализации запланированного объема капитальных затрат.  Для принятия решения по приоритетности распределения чистой прибыли, руководству компании необходима дополнительная информация к представленной ниже:</w:t>
            </w:r>
          </w:p>
        </w:tc>
      </w:tr>
      <w:tr w:rsidR="00423C21" w:rsidRPr="00423C21" w:rsidTr="00915DBA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423C21" w:rsidRPr="00423C21" w:rsidTr="00915DBA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ожидаемая чистая прибыль, (тыс. у.е.)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423C21" w:rsidRPr="00423C21" w:rsidTr="00915DBA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смета капитальных вложений, (тыс. у.е.)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1,5000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</w:tbl>
    <w:p w:rsidR="00423C21" w:rsidRPr="00423C21" w:rsidRDefault="00423C21" w:rsidP="00423C21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10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41"/>
        <w:gridCol w:w="8807"/>
        <w:gridCol w:w="690"/>
      </w:tblGrid>
      <w:tr w:rsidR="00423C21" w:rsidRPr="00423C21" w:rsidTr="00F25DA4">
        <w:tc>
          <w:tcPr>
            <w:tcW w:w="10206" w:type="dxa"/>
            <w:gridSpan w:val="4"/>
            <w:vAlign w:val="center"/>
          </w:tcPr>
          <w:p w:rsidR="00915DBA" w:rsidRPr="00915DBA" w:rsidRDefault="00423C21" w:rsidP="00423C2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915DBA" w:rsidRPr="00915DBA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Определить:</w:t>
            </w:r>
          </w:p>
        </w:tc>
      </w:tr>
      <w:tr w:rsidR="00423C21" w:rsidRPr="00423C21" w:rsidTr="00F25DA4">
        <w:trPr>
          <w:gridAfter w:val="1"/>
          <w:wAfter w:w="690" w:type="dxa"/>
          <w:trHeight w:val="379"/>
        </w:trPr>
        <w:tc>
          <w:tcPr>
            <w:tcW w:w="568" w:type="dxa"/>
            <w:vAlign w:val="center"/>
          </w:tcPr>
          <w:p w:rsidR="00423C21" w:rsidRPr="00423C21" w:rsidRDefault="00F25DA4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948" w:type="dxa"/>
            <w:gridSpan w:val="2"/>
          </w:tcPr>
          <w:p w:rsidR="00423C21" w:rsidRPr="00423C21" w:rsidRDefault="00423C21" w:rsidP="00915DBA">
            <w:pPr>
              <w:tabs>
                <w:tab w:val="left" w:pos="851"/>
              </w:tabs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величину дивидендов, выплачиваемых на одну акцию, а также ежегодный объем внешнего финансирования, который потребуется в течение предстоящих пяти лет, если:</w:t>
            </w:r>
          </w:p>
        </w:tc>
      </w:tr>
      <w:tr w:rsidR="00423C21" w:rsidRPr="00423C21" w:rsidTr="00F25DA4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9638" w:type="dxa"/>
            <w:gridSpan w:val="3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дивидендная политика рассматривается как пассивный фактор;</w:t>
            </w:r>
          </w:p>
        </w:tc>
      </w:tr>
      <w:tr w:rsidR="00423C21" w:rsidRPr="00423C21" w:rsidTr="00F25DA4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638" w:type="dxa"/>
            <w:gridSpan w:val="3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нынешняя величина годовых дивидендов, выплачиваемых на каждую акцию, будет оставаться неизменной;</w:t>
            </w:r>
          </w:p>
        </w:tc>
      </w:tr>
      <w:tr w:rsidR="00423C21" w:rsidRPr="00423C21" w:rsidTr="00F25DA4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9638" w:type="dxa"/>
            <w:gridSpan w:val="3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коэффициент выплаты дивидендов будет поддерживаться на уровне 50%</w:t>
            </w:r>
          </w:p>
        </w:tc>
      </w:tr>
      <w:tr w:rsidR="00423C21" w:rsidRPr="00423C21" w:rsidTr="00F25DA4">
        <w:trPr>
          <w:trHeight w:val="379"/>
        </w:trPr>
        <w:tc>
          <w:tcPr>
            <w:tcW w:w="709" w:type="dxa"/>
            <w:gridSpan w:val="2"/>
            <w:vAlign w:val="center"/>
          </w:tcPr>
          <w:p w:rsidR="00423C21" w:rsidRPr="00423C21" w:rsidRDefault="00F25DA4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497" w:type="dxa"/>
            <w:gridSpan w:val="2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при каком из трех видов дивидендной политики будет максимизирована за пять лет величина:</w:t>
            </w:r>
          </w:p>
        </w:tc>
      </w:tr>
      <w:tr w:rsidR="00423C21" w:rsidRPr="00423C21" w:rsidTr="00F25DA4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(а) </w:t>
            </w:r>
          </w:p>
        </w:tc>
        <w:tc>
          <w:tcPr>
            <w:tcW w:w="9638" w:type="dxa"/>
            <w:gridSpan w:val="3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совокупных дивидендов;</w:t>
            </w:r>
          </w:p>
        </w:tc>
      </w:tr>
      <w:tr w:rsidR="00423C21" w:rsidRPr="00423C21" w:rsidTr="00F25DA4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638" w:type="dxa"/>
            <w:gridSpan w:val="3"/>
          </w:tcPr>
          <w:p w:rsidR="00423C21" w:rsidRPr="00423C21" w:rsidRDefault="00423C21" w:rsidP="00423C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внешнего финансирования</w:t>
            </w:r>
          </w:p>
        </w:tc>
      </w:tr>
    </w:tbl>
    <w:p w:rsidR="00423C21" w:rsidRPr="00423C21" w:rsidRDefault="00423C21" w:rsidP="00423C2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6"/>
          <w:szCs w:val="24"/>
          <w14:numSpacing w14:val="proportional"/>
        </w:rPr>
      </w:pPr>
    </w:p>
    <w:p w:rsidR="00423C21" w:rsidRPr="00423C21" w:rsidRDefault="00423C21" w:rsidP="00423C2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Моделирование в  Системе Управления Финансами </w:t>
      </w:r>
      <w:r w:rsidRPr="00423C21"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  <w:t>(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4</w:t>
      </w:r>
      <w:r w:rsidRPr="00423C21"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балла</w:t>
      </w:r>
      <w:r w:rsidRPr="00423C21">
        <w:rPr>
          <w:rFonts w:ascii="Times New Roman" w:eastAsiaTheme="majorEastAsia" w:hAnsi="Times New Roman" w:cs="Times New Roman"/>
          <w:bCs/>
          <w:i/>
          <w:color w:val="000000" w:themeColor="text1"/>
          <w:kern w:val="18"/>
          <w:sz w:val="24"/>
          <w:szCs w:val="24"/>
          <w14:numSpacing w14:val="proportional"/>
        </w:rPr>
        <w:t>)</w:t>
      </w:r>
    </w:p>
    <w:tbl>
      <w:tblPr>
        <w:tblStyle w:val="10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23"/>
        <w:gridCol w:w="1116"/>
      </w:tblGrid>
      <w:tr w:rsidR="00423C21" w:rsidRPr="00423C21" w:rsidTr="00F25DA4">
        <w:trPr>
          <w:trHeight w:val="2204"/>
        </w:trPr>
        <w:tc>
          <w:tcPr>
            <w:tcW w:w="10065" w:type="dxa"/>
            <w:gridSpan w:val="3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Моделирование – процесс построения модели, в частности аналитического выражения зависимости между изучаемыми явлениям. 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системе управления финансами, моделирование изучает, анализирует и прогнозирует различные возможные варианты поведения объекта /системы /процесса/ явления, идентифицирует объективные и субъективные факторы, оказывающие влияние на этот объект; оценивают возможности и способы управления этими факторами.  В финансовом менеджменте применяются дескриптивные модели и предикатные модели</w:t>
            </w:r>
          </w:p>
        </w:tc>
      </w:tr>
      <w:tr w:rsidR="00423C21" w:rsidRPr="00423C21" w:rsidTr="00F25DA4">
        <w:trPr>
          <w:gridAfter w:val="1"/>
          <w:wAfter w:w="1116" w:type="dxa"/>
        </w:trPr>
        <w:tc>
          <w:tcPr>
            <w:tcW w:w="8949" w:type="dxa"/>
            <w:gridSpan w:val="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23C21" w:rsidRPr="00423C21" w:rsidTr="00F25DA4">
        <w:trPr>
          <w:gridAfter w:val="1"/>
          <w:wAfter w:w="1116" w:type="dxa"/>
          <w:trHeight w:val="290"/>
        </w:trPr>
        <w:tc>
          <w:tcPr>
            <w:tcW w:w="426" w:type="dxa"/>
            <w:vAlign w:val="center"/>
          </w:tcPr>
          <w:p w:rsidR="00423C21" w:rsidRPr="00423C21" w:rsidRDefault="00F25DA4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23" w:type="dxa"/>
            <w:vAlign w:val="center"/>
          </w:tcPr>
          <w:p w:rsidR="00423C21" w:rsidRPr="00423C21" w:rsidRDefault="00423C21" w:rsidP="00F25D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опи</w:t>
            </w:r>
            <w:r w:rsidR="00F25D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сать</w:t>
            </w: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содержание понятия «дескриптивные модели»</w:t>
            </w:r>
          </w:p>
        </w:tc>
      </w:tr>
      <w:tr w:rsidR="00423C21" w:rsidRPr="00423C21" w:rsidTr="00F25DA4">
        <w:trPr>
          <w:gridAfter w:val="1"/>
          <w:wAfter w:w="1116" w:type="dxa"/>
          <w:trHeight w:val="379"/>
        </w:trPr>
        <w:tc>
          <w:tcPr>
            <w:tcW w:w="426" w:type="dxa"/>
            <w:vAlign w:val="center"/>
          </w:tcPr>
          <w:p w:rsidR="00423C21" w:rsidRPr="00423C21" w:rsidRDefault="00F25DA4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523" w:type="dxa"/>
            <w:vAlign w:val="center"/>
          </w:tcPr>
          <w:p w:rsidR="00423C21" w:rsidRPr="00423C21" w:rsidRDefault="00F25DA4" w:rsidP="00F2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423C21" w:rsidRPr="00423C21">
              <w:rPr>
                <w:rFonts w:ascii="Times New Roman" w:hAnsi="Times New Roman" w:cs="Times New Roman"/>
                <w:sz w:val="24"/>
                <w:szCs w:val="24"/>
              </w:rPr>
              <w:t>какие модели входя в группу дескриптивных моделей</w:t>
            </w:r>
          </w:p>
        </w:tc>
      </w:tr>
    </w:tbl>
    <w:p w:rsidR="00423C21" w:rsidRPr="00423C21" w:rsidRDefault="00423C21" w:rsidP="00423C2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423C21" w:rsidRPr="00423C21" w:rsidRDefault="00423C21" w:rsidP="00423C21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Оценка инвестиционного проекта, критерий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(6 баллов)</w:t>
      </w:r>
    </w:p>
    <w:tbl>
      <w:tblPr>
        <w:tblStyle w:val="10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3"/>
      </w:tblGrid>
      <w:tr w:rsidR="00423C21" w:rsidRPr="00423C21" w:rsidTr="006A5AD0">
        <w:trPr>
          <w:trHeight w:val="1856"/>
        </w:trPr>
        <w:tc>
          <w:tcPr>
            <w:tcW w:w="9781" w:type="dxa"/>
            <w:gridSpan w:val="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Вам предлагают вложить 250 тыс. у.е. в некий проект, рассчи</w:t>
            </w:r>
            <w:r w:rsidRPr="00423C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танный на 15 лет. Ожидаемые чистые денежные потоки по проекту таковы: 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первых четырех лет по 24 тыс. у.е. в год, 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в последующие годы – по 30 тыс. у.е. в год 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все денежные потоки поступают по схеме </w:t>
            </w:r>
            <w:proofErr w:type="spellStart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постнумерандо</w:t>
            </w:r>
            <w:proofErr w:type="spellEnd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приемлемая норма прибыли 8%.</w:t>
            </w:r>
          </w:p>
        </w:tc>
      </w:tr>
      <w:tr w:rsidR="00423C21" w:rsidRPr="00423C21" w:rsidTr="006A5AD0">
        <w:tc>
          <w:tcPr>
            <w:tcW w:w="9781" w:type="dxa"/>
            <w:gridSpan w:val="2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23C21" w:rsidRPr="00423C21" w:rsidTr="006A5AD0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9213" w:type="dxa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дисконтированное значение совокупной суммы денежных потоков и применить критерий оценки чистой приведенной стоимости</w:t>
            </w:r>
          </w:p>
        </w:tc>
      </w:tr>
      <w:tr w:rsidR="00423C21" w:rsidRPr="00423C21" w:rsidTr="006A5AD0">
        <w:trPr>
          <w:trHeight w:val="379"/>
        </w:trPr>
        <w:tc>
          <w:tcPr>
            <w:tcW w:w="568" w:type="dxa"/>
            <w:vAlign w:val="center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213" w:type="dxa"/>
          </w:tcPr>
          <w:p w:rsidR="00423C21" w:rsidRPr="00423C21" w:rsidRDefault="00423C21" w:rsidP="00423C21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сделать вывод на основании полученных результатов вычислений.</w:t>
            </w:r>
          </w:p>
        </w:tc>
      </w:tr>
    </w:tbl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</w:rPr>
      </w:pPr>
    </w:p>
    <w:p w:rsidR="00A908B1" w:rsidRPr="00AD3C9C" w:rsidRDefault="00A908B1" w:rsidP="00261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7204D" w:rsidRPr="00AD3C9C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B" w:rsidRPr="00AD3C9C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AD3C9C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Точка Безубыточности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(12 баллов)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tbl>
      <w:tblPr>
        <w:tblStyle w:val="11"/>
        <w:tblW w:w="10065" w:type="dxa"/>
        <w:tblInd w:w="-34" w:type="dxa"/>
        <w:tblLook w:val="04A0" w:firstRow="1" w:lastRow="0" w:firstColumn="1" w:lastColumn="0" w:noHBand="0" w:noVBand="1"/>
      </w:tblPr>
      <w:tblGrid>
        <w:gridCol w:w="596"/>
        <w:gridCol w:w="3949"/>
        <w:gridCol w:w="761"/>
        <w:gridCol w:w="4759"/>
      </w:tblGrid>
      <w:tr w:rsidR="00423C21" w:rsidRPr="00423C21" w:rsidTr="00F25DA4">
        <w:trPr>
          <w:trHeight w:val="988"/>
        </w:trPr>
        <w:tc>
          <w:tcPr>
            <w:tcW w:w="10065" w:type="dxa"/>
            <w:gridSpan w:val="4"/>
            <w:vAlign w:val="center"/>
          </w:tcPr>
          <w:p w:rsidR="00423C21" w:rsidRPr="00423C21" w:rsidRDefault="00423C21" w:rsidP="00423C21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Фабрика детских игрушек «Дед 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является производителем детских велосипедов и самокатов. Планируя выпуск нового  велосипеда - 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трансформера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отдел предоставил следующий прогноз, (тыс. у.е.):</w:t>
            </w: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объем производства, (тыс. шт.)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(тыс. у.е.):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переменные расходы, (тыс. у.е.):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маржинальная прибыль, (тыс. у.е.): 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постоянные расходы , (тыс. у.е.):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прибыль:</w:t>
            </w:r>
          </w:p>
        </w:tc>
        <w:tc>
          <w:tcPr>
            <w:tcW w:w="717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86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4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i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/>
                <w:bCs/>
                <w:i/>
                <w:color w:val="000000" w:themeColor="text1"/>
                <w:kern w:val="18"/>
                <w:sz w:val="24"/>
                <w:szCs w:val="24"/>
              </w:rPr>
              <w:t xml:space="preserve">Требуется: 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423C21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9" w:type="dxa"/>
            <w:gridSpan w:val="3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t>рассчитайте точку безубыточности в: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423C21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9469" w:type="dxa"/>
            <w:gridSpan w:val="3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t>натуральных единицах;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423C21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469" w:type="dxa"/>
            <w:gridSpan w:val="3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t>денежных единицах</w:t>
            </w:r>
          </w:p>
        </w:tc>
      </w:tr>
      <w:tr w:rsidR="00423C21" w:rsidRPr="00423C21" w:rsidTr="00F25DA4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423C21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9" w:type="dxa"/>
            <w:gridSpan w:val="3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t xml:space="preserve">рассчитать на сколько процентов необходимо снизить постоянные расходы, чтобы при </w:t>
            </w: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lastRenderedPageBreak/>
              <w:t>сокращении выручки на 25% и при значении степени операционного рычага равного 3, компания сохранила 75% прибыли</w:t>
            </w:r>
          </w:p>
        </w:tc>
      </w:tr>
      <w:tr w:rsidR="00423C21" w:rsidRPr="00423C21" w:rsidTr="00F25DA4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423C21">
            <w:pPr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9469" w:type="dxa"/>
            <w:gridSpan w:val="3"/>
            <w:vAlign w:val="center"/>
          </w:tcPr>
          <w:p w:rsidR="00423C21" w:rsidRPr="00423C21" w:rsidRDefault="00423C21" w:rsidP="00F25DA4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</w:pPr>
            <w:r w:rsidRPr="00423C21">
              <w:rPr>
                <w:rFonts w:ascii="Times New Roman" w:eastAsiaTheme="majorEastAsia" w:hAnsi="Times New Roman" w:cs="Times New Roman"/>
                <w:bCs/>
                <w:color w:val="000000" w:themeColor="text1"/>
                <w:kern w:val="18"/>
                <w:sz w:val="24"/>
                <w:szCs w:val="24"/>
              </w:rPr>
              <w:t>отразите результаты расчетов в прогнозном отчете о прибылях и убытках</w:t>
            </w:r>
          </w:p>
        </w:tc>
      </w:tr>
    </w:tbl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Форвардная ставка бескупонной облигации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tbl>
      <w:tblPr>
        <w:tblStyle w:val="11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423C21" w:rsidRPr="00423C21" w:rsidTr="00F25DA4">
        <w:trPr>
          <w:trHeight w:val="377"/>
        </w:trPr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Инвестор приобрел бескупонную облигацию со сроком погашения   2 года за 750 у.е. СПОТ ставка по этой облигации на конец первого года обращения равна 11.11%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 форвардную ставку</w:t>
            </w:r>
          </w:p>
        </w:tc>
      </w:tr>
    </w:tbl>
    <w:p w:rsidR="00F25DA4" w:rsidRPr="00F25DA4" w:rsidRDefault="00F25DA4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Коэффициентный анализ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(4 балла)</w:t>
      </w:r>
    </w:p>
    <w:tbl>
      <w:tblPr>
        <w:tblStyle w:val="11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423C21" w:rsidRPr="00423C21" w:rsidTr="00F25DA4">
        <w:trPr>
          <w:trHeight w:val="377"/>
        </w:trPr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Коэффициент годности и Коэффициент износа  являются  аналитическими коэффициентами, применяются в отношении основных средств организации,  характеризует долю стоимости объектов, к определенной стоимости активов компании, используются в анализе для характеристики состояния основных средств как в целом, так и по отдельным видам, и  расчет коэффициентов может быть сделан по данным годовой отчетности .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 формулы расчетов данных коэффициентов и охарактеризовать наличие или отсутствие взаимосвязи между их показателями.</w:t>
            </w:r>
          </w:p>
        </w:tc>
      </w:tr>
    </w:tbl>
    <w:p w:rsidR="00484FC0" w:rsidRPr="00423C21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</w:p>
    <w:p w:rsidR="00A908B1" w:rsidRPr="00AD3C9C" w:rsidRDefault="00A908B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AD3C9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AD3C9C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Инвестиции в акции. Стандартное отклонение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(12 баллов)</w:t>
      </w:r>
    </w:p>
    <w:tbl>
      <w:tblPr>
        <w:tblStyle w:val="12"/>
        <w:tblW w:w="10085" w:type="dxa"/>
        <w:tblInd w:w="-54" w:type="dxa"/>
        <w:tblLook w:val="04A0" w:firstRow="1" w:lastRow="0" w:firstColumn="1" w:lastColumn="0" w:noHBand="0" w:noVBand="1"/>
      </w:tblPr>
      <w:tblGrid>
        <w:gridCol w:w="1135"/>
        <w:gridCol w:w="8950"/>
      </w:tblGrid>
      <w:tr w:rsidR="00423C21" w:rsidRPr="00423C21" w:rsidTr="00F25DA4">
        <w:trPr>
          <w:trHeight w:val="377"/>
        </w:trPr>
        <w:tc>
          <w:tcPr>
            <w:tcW w:w="10085" w:type="dxa"/>
            <w:gridSpan w:val="2"/>
            <w:vAlign w:val="center"/>
          </w:tcPr>
          <w:p w:rsidR="00423C21" w:rsidRPr="00423C21" w:rsidRDefault="00423C21" w:rsidP="00423C21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Обыкновенные акции компании «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val="en-US" w:eastAsia="ru-RU"/>
              </w:rPr>
              <w:t>Durrabels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»  в настоящее время продаются по цене 10 у.е. за одну акцию и предполагается, что в следующем году по ним будут выплачены дивиденды в размере 1 у.е. на одну акцию. Предполагается, что существует 70%-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ная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вероятность того, что к концу года акции будут продаваться по цене 12 у.е., и 30%-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ная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вероятность того, что они будут продаваться по цене 9 у.е. Коэффициент «бета» у обыкновенных акций компании равен 1.30.</w:t>
            </w:r>
          </w:p>
          <w:p w:rsidR="00423C21" w:rsidRPr="00423C21" w:rsidRDefault="00423C21" w:rsidP="00F25DA4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обыкновенным акциям компании «</w:t>
            </w:r>
            <w:proofErr w:type="spellStart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Rumpel</w:t>
            </w:r>
            <w:proofErr w:type="spellEnd"/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которые рассматрива</w:t>
            </w:r>
            <w:r w:rsidR="00F25DA4" w:rsidRPr="00F2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как альтернативный вариант </w:t>
            </w: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средств. ожидаемая доходность равна 15.5%, а стандартное (среднеквадратическое) отклонение доходности составляет 14 %. Коэффициент «бета» у обыкновенных акций компании «Р» равен 2.00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85" w:type="dxa"/>
            <w:gridSpan w:val="2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</w:tc>
        <w:tc>
          <w:tcPr>
            <w:tcW w:w="8950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ожидаемую доходность и риск изменений доходности инвестиций обыкновенных акций;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423C21" w:rsidRPr="00423C21" w:rsidRDefault="00423C21" w:rsidP="00423C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</w:tc>
        <w:tc>
          <w:tcPr>
            <w:tcW w:w="8950" w:type="dxa"/>
            <w:vAlign w:val="center"/>
          </w:tcPr>
          <w:p w:rsidR="00423C21" w:rsidRPr="00423C21" w:rsidRDefault="00423C21" w:rsidP="00423C21">
            <w:pPr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ожидаемую доходность по методике САРМ</w:t>
            </w:r>
          </w:p>
        </w:tc>
      </w:tr>
    </w:tbl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23C21">
        <w:rPr>
          <w:rFonts w:ascii="Times New Roman" w:eastAsiaTheme="majorEastAsia" w:hAnsi="Times New Roman" w:cs="Times New Roman"/>
          <w:bCs/>
          <w:iCs/>
          <w:color w:val="000000" w:themeColor="text1"/>
          <w:kern w:val="18"/>
          <w:sz w:val="24"/>
          <w:szCs w:val="24"/>
          <w14:numSpacing w14:val="proportional"/>
        </w:rPr>
        <w:t>О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перационная рентабельность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(5 баллов)</w:t>
      </w:r>
    </w:p>
    <w:p w:rsidR="00423C21" w:rsidRPr="00423C21" w:rsidRDefault="00423C21" w:rsidP="00F25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C21">
        <w:rPr>
          <w:rFonts w:ascii="Times New Roman" w:hAnsi="Times New Roman" w:cs="Times New Roman"/>
          <w:sz w:val="24"/>
          <w:szCs w:val="24"/>
        </w:rPr>
        <w:t>Т 2-14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632"/>
      </w:tblGrid>
      <w:tr w:rsidR="00423C21" w:rsidRPr="00423C21" w:rsidTr="00F25DA4">
        <w:trPr>
          <w:trHeight w:val="629"/>
        </w:trPr>
        <w:tc>
          <w:tcPr>
            <w:tcW w:w="10036" w:type="dxa"/>
            <w:gridSpan w:val="2"/>
            <w:vAlign w:val="center"/>
          </w:tcPr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244459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Имеются данные об операционной рентабельности продаж и </w:t>
            </w:r>
            <w:proofErr w:type="spellStart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ресурсоотдачи</w:t>
            </w:r>
            <w:proofErr w:type="spellEnd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 четырех компаний за отчетный год: </w:t>
            </w:r>
          </w:p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А - 24% и 1.8; </w:t>
            </w:r>
          </w:p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Б - 30% и 0.8; </w:t>
            </w:r>
          </w:p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В - 12% и 3.5;</w:t>
            </w:r>
          </w:p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Г - 18% и 2.1.</w:t>
            </w:r>
          </w:p>
          <w:p w:rsidR="00423C21" w:rsidRPr="00423C21" w:rsidRDefault="00423C21" w:rsidP="00F25DA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F25DA4">
        <w:tc>
          <w:tcPr>
            <w:tcW w:w="1404" w:type="dxa"/>
            <w:vAlign w:val="center"/>
          </w:tcPr>
          <w:p w:rsidR="00423C21" w:rsidRPr="00423C21" w:rsidRDefault="00F25DA4" w:rsidP="00423C21">
            <w:pPr>
              <w:tabs>
                <w:tab w:val="left" w:pos="851"/>
                <w:tab w:val="left" w:pos="992"/>
              </w:tabs>
              <w:spacing w:before="20" w:after="120" w:line="21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18"/>
                <w:sz w:val="24"/>
                <w:szCs w:val="24"/>
                <w14:numSpacing w14:val="proportional"/>
              </w:rPr>
            </w:pPr>
            <w:r w:rsidRPr="00F25DA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18"/>
                <w:sz w:val="24"/>
                <w:szCs w:val="24"/>
                <w14:numSpacing w14:val="proportional"/>
              </w:rPr>
              <w:t>Т</w:t>
            </w:r>
            <w:r w:rsidR="00423C21" w:rsidRPr="00423C2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18"/>
                <w:sz w:val="24"/>
                <w:szCs w:val="24"/>
                <w14:numSpacing w14:val="proportional"/>
              </w:rPr>
              <w:t>ребуется:</w:t>
            </w:r>
          </w:p>
        </w:tc>
        <w:tc>
          <w:tcPr>
            <w:tcW w:w="8632" w:type="dxa"/>
            <w:vAlign w:val="center"/>
          </w:tcPr>
          <w:p w:rsidR="00423C21" w:rsidRPr="00423C21" w:rsidRDefault="00423C21" w:rsidP="00F25DA4">
            <w:pPr>
              <w:tabs>
                <w:tab w:val="left" w:pos="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 w:rsidR="00F25DA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 какая из компаний имеет более высокую операционную рентабельность</w:t>
            </w:r>
          </w:p>
        </w:tc>
      </w:tr>
      <w:bookmarkEnd w:id="1"/>
    </w:tbl>
    <w:p w:rsidR="00423C21" w:rsidRPr="00423C21" w:rsidRDefault="00423C21" w:rsidP="00423C21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Инвестиционный цикл 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(3 балла)</w:t>
      </w:r>
    </w:p>
    <w:tbl>
      <w:tblPr>
        <w:tblStyle w:val="12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423C21" w:rsidRPr="00423C21" w:rsidTr="00F25DA4">
        <w:trPr>
          <w:trHeight w:val="377"/>
        </w:trPr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Движение инвестиций, при котором они последовательно проходят все стадии от момента мобилизации инвестиционных ресурсов до возмещения вложенных средств и получения дохода.</w:t>
            </w:r>
          </w:p>
        </w:tc>
      </w:tr>
      <w:tr w:rsidR="00423C21" w:rsidRPr="00423C21" w:rsidTr="00F25D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vAlign w:val="center"/>
          </w:tcPr>
          <w:p w:rsidR="00423C21" w:rsidRPr="00423C21" w:rsidRDefault="00423C21" w:rsidP="00423C2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определить сущность и содержание инвестиционного цикла</w:t>
            </w:r>
          </w:p>
        </w:tc>
      </w:tr>
    </w:tbl>
    <w:p w:rsidR="00484FC0" w:rsidRPr="00F25DA4" w:rsidRDefault="00484FC0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36EB4" w:rsidRPr="00AD3C9C" w:rsidRDefault="00436EB4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FD6520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AD3C9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F25DA4" w:rsidRPr="00AD3C9C" w:rsidRDefault="00F25DA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bookmarkStart w:id="2" w:name="_Hlk98040708"/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Задание 1. </w:t>
      </w: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Точка Безубыточности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(10 баллов)</w:t>
      </w:r>
      <w:bookmarkStart w:id="3" w:name="_Hlk98042563"/>
    </w:p>
    <w:tbl>
      <w:tblPr>
        <w:tblStyle w:val="1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3966"/>
        <w:gridCol w:w="1563"/>
        <w:gridCol w:w="3656"/>
      </w:tblGrid>
      <w:tr w:rsidR="00423C21" w:rsidRPr="00423C21" w:rsidTr="006A5AD0">
        <w:trPr>
          <w:trHeight w:val="988"/>
        </w:trPr>
        <w:tc>
          <w:tcPr>
            <w:tcW w:w="9781" w:type="dxa"/>
            <w:gridSpan w:val="4"/>
            <w:vAlign w:val="center"/>
          </w:tcPr>
          <w:p w:rsidR="00423C21" w:rsidRPr="00423C21" w:rsidRDefault="00423C21" w:rsidP="00F25DA4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фабрика «Райские Птички»  является производителем постельного белья из высококачественного сатина. Планируя выпуск новых комплектов постельного белья «петунья» плановый отдел предоставил следующий прогноз, (тыс. у.е.):</w:t>
            </w: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объем производства, (шт.)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(у.е.):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2,700,000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переменные расходы, (у.е.):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1,800,000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маржинальная прибыль, (у.е.): 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постоянные расходы , (у.е.):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rPr>
          <w:trHeight w:val="377"/>
        </w:trPr>
        <w:tc>
          <w:tcPr>
            <w:tcW w:w="4562" w:type="dxa"/>
            <w:gridSpan w:val="2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прибыль:</w:t>
            </w:r>
          </w:p>
        </w:tc>
        <w:tc>
          <w:tcPr>
            <w:tcW w:w="1563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656" w:type="dxa"/>
            <w:vAlign w:val="center"/>
          </w:tcPr>
          <w:p w:rsidR="00423C21" w:rsidRPr="00423C21" w:rsidRDefault="00423C21" w:rsidP="00F2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21" w:rsidRPr="00423C21" w:rsidTr="006A5AD0">
        <w:tc>
          <w:tcPr>
            <w:tcW w:w="9781" w:type="dxa"/>
            <w:gridSpan w:val="4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Требуется: 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рассчитайте точку безубыточности в: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 единицах;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единицах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рассчитайте процент увеличения прибыли при увеличении выручки на 25%: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 способом;</w:t>
            </w:r>
          </w:p>
        </w:tc>
      </w:tr>
      <w:tr w:rsidR="00423C21" w:rsidRPr="00423C21" w:rsidTr="006A5AD0">
        <w:trPr>
          <w:trHeight w:val="379"/>
        </w:trPr>
        <w:tc>
          <w:tcPr>
            <w:tcW w:w="596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</w:tc>
        <w:tc>
          <w:tcPr>
            <w:tcW w:w="9185" w:type="dxa"/>
            <w:gridSpan w:val="3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степени операционного рычага.</w:t>
            </w:r>
          </w:p>
        </w:tc>
      </w:tr>
      <w:bookmarkEnd w:id="2"/>
      <w:bookmarkEnd w:id="3"/>
    </w:tbl>
    <w:p w:rsidR="00423C21" w:rsidRPr="00423C21" w:rsidRDefault="00423C21" w:rsidP="00F25DA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Оплата по векселю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(6 баллов)</w:t>
      </w:r>
    </w:p>
    <w:tbl>
      <w:tblPr>
        <w:tblStyle w:val="1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561"/>
      </w:tblGrid>
      <w:tr w:rsidR="00423C21" w:rsidRPr="00423C21" w:rsidTr="00F25DA4">
        <w:trPr>
          <w:trHeight w:val="597"/>
        </w:trPr>
        <w:tc>
          <w:tcPr>
            <w:tcW w:w="10065" w:type="dxa"/>
            <w:gridSpan w:val="2"/>
            <w:vAlign w:val="center"/>
          </w:tcPr>
          <w:p w:rsidR="00423C21" w:rsidRPr="00423C21" w:rsidRDefault="00423C21" w:rsidP="00F25D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Через 180 дней предприятие должно получить по векселю 2.5 млн. у.е. Банк приобрел этот вексель с дисконтом. Банк учел вексель по учетной ставке 30% годовых (год равен 360 дням).</w:t>
            </w:r>
          </w:p>
        </w:tc>
      </w:tr>
      <w:tr w:rsidR="00423C21" w:rsidRPr="00423C21" w:rsidTr="00F25DA4">
        <w:tc>
          <w:tcPr>
            <w:tcW w:w="10065" w:type="dxa"/>
            <w:gridSpan w:val="2"/>
            <w:vAlign w:val="center"/>
          </w:tcPr>
          <w:p w:rsidR="00423C21" w:rsidRPr="00423C21" w:rsidRDefault="00423C21" w:rsidP="00F25DA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</w:tc>
      </w:tr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полученные предприятием:</w:t>
            </w:r>
          </w:p>
        </w:tc>
      </w:tr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8114016"/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 прибыли</w:t>
            </w:r>
          </w:p>
        </w:tc>
      </w:tr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 дисконта</w:t>
            </w:r>
          </w:p>
        </w:tc>
      </w:tr>
      <w:bookmarkEnd w:id="4"/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вопросы:</w:t>
            </w:r>
          </w:p>
        </w:tc>
      </w:tr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вексель</w:t>
            </w:r>
          </w:p>
        </w:tc>
      </w:tr>
      <w:tr w:rsidR="00423C21" w:rsidRPr="00423C21" w:rsidTr="00F25DA4">
        <w:trPr>
          <w:trHeight w:val="379"/>
        </w:trPr>
        <w:tc>
          <w:tcPr>
            <w:tcW w:w="504" w:type="dxa"/>
            <w:vAlign w:val="center"/>
          </w:tcPr>
          <w:p w:rsidR="00423C21" w:rsidRPr="00423C21" w:rsidRDefault="00423C21" w:rsidP="00F25D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1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561" w:type="dxa"/>
            <w:vAlign w:val="center"/>
          </w:tcPr>
          <w:p w:rsidR="00423C21" w:rsidRPr="00423C21" w:rsidRDefault="00423C21" w:rsidP="00F25DA4">
            <w:pPr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простой вексель отличается от тратты</w:t>
            </w:r>
          </w:p>
        </w:tc>
      </w:tr>
    </w:tbl>
    <w:p w:rsidR="00423C21" w:rsidRPr="00423C21" w:rsidRDefault="00423C21" w:rsidP="00F25DA4">
      <w:pPr>
        <w:spacing w:after="0" w:line="240" w:lineRule="auto"/>
        <w:contextualSpacing/>
        <w:rPr>
          <w:rFonts w:ascii="Times New Roman" w:hAnsi="Times New Roman" w:cs="Times New Roman"/>
          <w:sz w:val="12"/>
          <w:szCs w:val="24"/>
        </w:rPr>
      </w:pPr>
    </w:p>
    <w:p w:rsidR="00423C21" w:rsidRPr="00423C21" w:rsidRDefault="00423C21" w:rsidP="00F25DA4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23C2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23C2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Внутренняя норма прибыли IRR 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(4 балл</w:t>
      </w:r>
      <w:r w:rsidR="00F25DA4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а</w:t>
      </w:r>
      <w:r w:rsidRPr="00423C21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 xml:space="preserve">)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23C21" w:rsidRPr="00423C21" w:rsidTr="00F25DA4">
        <w:trPr>
          <w:trHeight w:val="377"/>
        </w:trPr>
        <w:tc>
          <w:tcPr>
            <w:tcW w:w="10031" w:type="dxa"/>
            <w:vAlign w:val="center"/>
          </w:tcPr>
          <w:p w:rsidR="00423C21" w:rsidRPr="00423C21" w:rsidRDefault="00423C21" w:rsidP="00F25D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Внутренняя норма прибыли IRR – показатель, используемый для оценки эффективности инвестиции и численно равный значению ставки дисконтирования, при которой чистая дисконтированная стоимость инвестиционного проекта (NPV) равна 0. Показатель IRR дает характеристику резерва безопасности в отношении анализируемого инвестиционного проекта.</w:t>
            </w:r>
          </w:p>
        </w:tc>
      </w:tr>
      <w:tr w:rsidR="00423C21" w:rsidRPr="00423C21" w:rsidTr="00F25DA4">
        <w:tc>
          <w:tcPr>
            <w:tcW w:w="10031" w:type="dxa"/>
            <w:vAlign w:val="center"/>
          </w:tcPr>
          <w:p w:rsidR="00F25DA4" w:rsidRPr="00F25DA4" w:rsidRDefault="00423C21" w:rsidP="00F25DA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F25DA4" w:rsidRPr="00F25DA4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  <w:p w:rsidR="00423C21" w:rsidRPr="00423C21" w:rsidRDefault="00F25DA4" w:rsidP="00F25DA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25DA4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</w:t>
            </w:r>
            <w:r w:rsidR="00423C21" w:rsidRPr="00423C21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объяснить в чем заключается смысл понятия безопасности и какую характеристику может дать IRR.</w:t>
            </w:r>
          </w:p>
        </w:tc>
      </w:tr>
    </w:tbl>
    <w:p w:rsidR="00852A53" w:rsidRPr="00F25DA4" w:rsidRDefault="00852A53" w:rsidP="00F25DA4">
      <w:pPr>
        <w:keepNext/>
        <w:keepLines/>
        <w:tabs>
          <w:tab w:val="left" w:pos="1134"/>
        </w:tabs>
        <w:spacing w:after="0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F25DA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1F7204"/>
    <w:rsid w:val="002062D8"/>
    <w:rsid w:val="00230B7A"/>
    <w:rsid w:val="00261E5D"/>
    <w:rsid w:val="00303D75"/>
    <w:rsid w:val="00332B9C"/>
    <w:rsid w:val="00337388"/>
    <w:rsid w:val="00390C69"/>
    <w:rsid w:val="003A17CE"/>
    <w:rsid w:val="003C6E97"/>
    <w:rsid w:val="00423C21"/>
    <w:rsid w:val="00436EB4"/>
    <w:rsid w:val="00453B97"/>
    <w:rsid w:val="004624A0"/>
    <w:rsid w:val="00484FC0"/>
    <w:rsid w:val="004C241C"/>
    <w:rsid w:val="0052505E"/>
    <w:rsid w:val="005305A5"/>
    <w:rsid w:val="005550BC"/>
    <w:rsid w:val="005B1769"/>
    <w:rsid w:val="005C21E0"/>
    <w:rsid w:val="005D2037"/>
    <w:rsid w:val="005E0602"/>
    <w:rsid w:val="00633110"/>
    <w:rsid w:val="0066525E"/>
    <w:rsid w:val="00671A5C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8136D"/>
    <w:rsid w:val="008B148B"/>
    <w:rsid w:val="008B6EDB"/>
    <w:rsid w:val="008F2514"/>
    <w:rsid w:val="00915DBA"/>
    <w:rsid w:val="00951108"/>
    <w:rsid w:val="00985778"/>
    <w:rsid w:val="00A00CC1"/>
    <w:rsid w:val="00A05A6A"/>
    <w:rsid w:val="00A908B1"/>
    <w:rsid w:val="00A96CDC"/>
    <w:rsid w:val="00AD16F9"/>
    <w:rsid w:val="00AD3C9C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C0285"/>
    <w:rsid w:val="00CD0E38"/>
    <w:rsid w:val="00CF6AA4"/>
    <w:rsid w:val="00D5144F"/>
    <w:rsid w:val="00D75933"/>
    <w:rsid w:val="00D76B06"/>
    <w:rsid w:val="00D87541"/>
    <w:rsid w:val="00DB06B1"/>
    <w:rsid w:val="00DD5CDB"/>
    <w:rsid w:val="00E041CC"/>
    <w:rsid w:val="00E737BE"/>
    <w:rsid w:val="00EE2892"/>
    <w:rsid w:val="00EF156C"/>
    <w:rsid w:val="00F0466C"/>
    <w:rsid w:val="00F12E11"/>
    <w:rsid w:val="00F25DA4"/>
    <w:rsid w:val="00F84C73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E153-0DE1-4E49-B5D6-830AA9B7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42</cp:revision>
  <cp:lastPrinted>2021-09-24T03:23:00Z</cp:lastPrinted>
  <dcterms:created xsi:type="dcterms:W3CDTF">2020-10-09T09:57:00Z</dcterms:created>
  <dcterms:modified xsi:type="dcterms:W3CDTF">2022-08-15T10:19:00Z</dcterms:modified>
</cp:coreProperties>
</file>